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Семерников Дмитрий Владимирович обратился в суд с заявлением о признании недействительным подписанный должником (цедент) и обществом «Югстрой» (цессионарий) договор уступки прав требования от 05.12.2019; недействительными совершенные должником 23.04.2019, 25.04.2019, 14.06.2019, 06.09.2019 и 17.09.2019 транзакции на сумму 3 590 600 рублей в пользу общества «Югстрой»; применении последствия недействительности указанных сделок. Определением Арбитражного суда Ставропольского края от 22.11.2022, оставленным без изменения постановлениями Шестнадцатого арбитражного апелляционного суда от 09.03.2023 и постановление Арбитражного суда Северо–Кавказского округа от 30.06.2023, заявленные требования удовлетворены. Признан недействительным договор уступки прав требования от 05.12.2019; применены последствия недействительности сделки, в виде восстановления права требования должника к обществу с ограниченной ответственностью «Ридкорн» на сумму уступленного требования в размере 2 1 528 000 рублей. Признаны недействительными перечисления должником денежных средств обществу «Югстрой» (ранее – общество с ограниченной ответственностью «Гидро АААБ») в размере 3 590 600 рублей; применены последствия недействительности сделок в виде взыскания с общества «Югстрой» в пользу должника 3 590 600 рублей. В кассационной жалобе, поданной в Верховный Суд Российской Федерации, заявитель просит отменить обжалуемые судебные акты,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61.2 Федерального закона от 26.10.2002 № 127-ФЗ «О несостоятельности (банкротстве)», исходили из наличия оснований для признания недействительными оспариваемой сделки и операций по перечислению денежных средств, совершённых неплатёжеспособным должником в период подозрительности в пользу заинтересованного лица, без встречного исполнения и повлекшей за собой причинение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Доводы заявителя направлены на переоценку представленных доказательств и установление иных обстоятельств по делу. Однако полномочиями по переоценке доказательств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