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16.12.2022 в удовлетворении иска отказано вследствие пропуска срока исковой давности, о применении которой заявил ответчик. Седьмой арбитражный апелляционный суд постановлением от 18.04.2023 отменил решение от 16.12.2022 и взыскал 760 000 рублей убытков. Арбитражный суд Западно-Сибирского округа постановлением от 18.07.2023 отменил постановление апелляционного суда от 18.04.2023 и оставил в силе решение от 16.12.2022. В кассационной жалобе общество «Интерлогистикс» просит об отмене постановления окружного суда, ссылаясь на неправильные квалификацию договора и определение начала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Правая квалификация правоотношений, от которой зависит применимый срок исковой давности, осуществлена судом первой инстанции в пределах возложенной на него компетенции, поэтому его судебный акт правомерно оставлен в силе окружным судом. Иное толкование условий договора не составляет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«Интерлогистикс»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"Интерлогистикс" (подробнее) Ответчики: АО "Томская генерация"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