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с ограниченной ответственностью «Байлар-Групп» обратилось в суд с заявлением о процессуальном правопреемстве на стороне кредиторов должника: общества с ограниченной ответственностью «Элеватор Чердаклы» по требованию в размере 36 392 706 рублей 02 копейки, включённому в третью очередь реестра требований кредиторов должника (далее – реестр); общества «Чердаклинский элеватор» по требованию в размере 38 686 775 рублей 11 копеек, включённому в третью очередь реестра. Определением Арбитражного суда Ульяновской области от 06.12.2022, оставленным без изменения постановлениями Одиннадцатого арбитражного апелляционного суда от 07.02.2023 и Арбитражного суда Поволжского округа от 28.06.2023, заявление удовлетворено. В кассационной жалобе, поданной в Верховный Суд Российской Федерации, заявитель просит отменить названные судебные акты и направить обособленный спор на новое рассмотрение в Арбитражный суд Ульяновской области.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положениями статей 384, 388 и 389 Гражданского кодекса Российской Федерации, исходили из отсутствия оснований для ограничения прав лица на совершение правопреемства, признав наличие оснований для удовлетворения заявления и указав на представление доказательств реальности отношений по уступке прав требования, которые в установленном порядке не оспорены, недействительными не признаны.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обжалуемых судебных актов, судами не допущено. Доводы заявителя были предметом рассмотрения суда округа, получили надлежащую правовую оценку, отклонены как несостоятельные с подробным изложением мотивов отклонения и,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а также на пересмотр итогов рассмотрения иного обособленного спора по настоящему делу о замене кредитора – общества с ограниченной ответственностью «Вектор-Юг» на правопреемника -= общество «Чердаклинский элеватор».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