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11.01.2023, оставленным без изменения постановлением Первого арбитражного апелляционного суда от 23.03.2023 и постановлением Арбитражного суда Волго-Вятского округа от 23.06.2023, в удовлетворении заявления отказано. В кассационной жалобе акционерное общество «Банк ДОМ.РФ» просит об отмене судебных актов, ссылаясь на неправильное применение срока исковой давности к заявленному требованию.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неприбегание к принудительному исполнению решений суда в установленный для этого срок, истекший к моменту предъявления рассматриваемых требований, в качестве оснований для отказа во включении их в реестр. Иная оценка подателем жалобы обстоятельств, влияющих на исчисление срока, не опровергает законности судебных актов и не создает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ДОМ.РФ»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