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ПАО «Первая грузовая компания» обратилось в Арбитражный суд города Москвы с иском к АО «Сибирская угольная энергетическая компания» о взыскании 2 241 000 рублей штрафа за сверхнормативный простой вагонов по договору от 01.01.2018 № АО-ДД/УМ-25/18. Решением Арбитражного суда города Москвы от 21.02.2022 иск удовлетворен в части взыскания 1 750 000 рублей штрафа; в удовлетворении иска в остальной части отказано. ПАО «ПГК» обратилось в Арбитражный суд города Москвы с заявлением об индексации присужденных денежных средств за период с 15.02.2021 по 31.05.2022 в размере 179 312 рублей 60 копеек. Определением Арбитражного суда города Москвы от 26.01.2023, оставленным без изменения постановлением Девятого арбитражного апелляционного суда от 07.04.2023 и постановлением Арбитражного суда Московского округа от 04.07.2023, заявление удовлетворено. АО «СУЭК»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Удовлетворяя заявление об индексации присужденных денежных сумм, суды руководствовались положениями статей 171, 176, 183 Арбитражного процессуального кодекса Российской Федерации, правовой позицией, изложенной в постановлении Конституционного Суда Российской Федерации от 22.07.2021 № 40-П «По делу о проверке конституционности статьи 183 АПК РФ в связи с запросом Арбитражного суда Республики Татарстан и жалобой гражданина В.В. Сторублевцева», и исходили из права истца на возмещение финансовых потерь в упрощенном процессуальном порядке со дня вынесения судебного акта, вызванных обесцениванием в результате экономических явлений присужденных денежных сумм, обязанность уплатить которые лежит на должнике и эта обязанность своевременно не исполнена.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