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Липецкой области от 10.10.2022, оставленным без изменения постановлением Девятнадцатого арбитражного апелляционного суда от 01.02.2023 и постановлением Арбитражного суда Центрального округа от 18.07.2023, в удовлетворении заявления отказано. В кассационной жалобе ФИО1 просит об отмене судебных актов, ссылаясь на неправильную оценку действий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К исследованным обстоятельствам совершения дарения суды признали не применимыми последствий недействительности сделок ни в силу законодательства о банкротстве, ни согласно общегражданским нормам. Иная оценка действий должника не попадает под основания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"Залоговый центр Черноземья"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