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Верховный Суд Российской Федерации с кассационной жалобой на вышеуказанные судебные акты, одновременно заявив об отводе судьи Попова В.В. В соответствии с положениями части 2 статьи 25 Арбитражного процессуального кодекса Российской Федерации (далее – АПК РФ) вопрос об отводе судьи, рассматривающего дело единолично, решается тем же судьей. Рассмотрев заявление предпринимателя, судья не находит оснований для его удовлетворения в связи со следующим. Статья 21 АПК РФ содержит исчерпывающий перечень обстоятельств, исключающих участие судьи в рассмотрении дела. Между тем в заявлении предпринимателя об отводе судьи не содержится конкретных фактов и обстоятельств, подтверждающих наличие 2 предусмотренных названной нормой процессуального закона оснований для отвода судьи. Сам по себе факт рассмотрения судьей Поповым В.В. кассационных жалоб с участием сторон спора в рамках других арбитражных дел не является основанием для отвода судьи. Руководствуясь статьями 21, 25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индивидуального предпринимателя Кучеренко Игоря Владимировича об отводе судьи Попова В.В. отказать. Судья Верховного Суда Российской Федерации В.В. Попов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