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23.01.2023, оставленным без изменения постановлением Семнадцатого арбитражного апелляционного суда от 23.03.2023 и постановлением Арбитражного суда Уральского округа от 26.06.2023, в удовлетворении заявления отказано. В кассационной жалобе Рохлин Е.Б. просит отменить судебные акты как незаконные и необоснованные.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реализацию спорного имущества на публичных торгах стороннему лицу и определение ранее судом судьбы спорного имущества как не попадающего в конкурсную массу должника, поэтому отклонили требования в соответствии со статьями 223, 551 Гражданского кодекса Российской Федерации, статей 20.3, 131 Федерального закона от 26.10.2002 № 127-ФЗ «О несостоятельности (банкротстве)». Приведенные в жалобе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Рохлину Евгению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