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Сусликова А.О. обратилась в суд с заявлением о взыскании с Федеральной налоговой службы России (далее – уполномоченный орган), как с заявителя по настоящему делу, вознаграждения конкурсного управляющего и понесенных в рамках дела судебных расходов в общей сумме 501 065 рублей 18 копеек. Определением Арбитражного суда Республики Коми от 18.01.2023, оставленным без изменения постановлениями Второго арбитражного апелляционного суда от 18.04.2023 и Арбитражного суда Волго-Вятского округа от 11.08.2023, прекращено производство по заявлению в связи с пропуском срока на его подачу. В кассационной жалобе, поданной в Верховный Суд Российской Федерации, заявитель просит отменить названные судебные акты и удовлетворить заявление.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заявлению и подтверждая законность такого прекращения, суды, руководствуясь правовой позицией, изложенной в пункте 52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пришли к выводу о пропуске заявителем процессуального срока на подачу заявления и отсутствия уважительных причин для его восстановления.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