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залога товаров в обороте от 11.11.2019, заключенного должником и кооперативом. Определением Арбитражного суда Тверской области от 22.02.2023, оставленным без изменения постановлением Четырнадцатого арбитражного апелляционного суда от 12.05.2023, отказано в удовлетворении заявления. Постановлением Арбитражного суда Северо-Западного округа от 10.08.2023 отменены определение суда первой инстанции от 22.02.2023 и постановление апелляционного суда от 12.05.2023, дело направлено на новое рассмотрение в Арбитражный суд Тверской области. В кассационной жалобе, поданной в Верховный Суд Российской Федерации, заявитель просит отменить названное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спор на новое рассмотрение, суд округа пришёл к выводу о неполном исследовании судами обстоятельств дела, которые имеют существенное значение для разрешения спора, что привело к преждевременным выводам и вынесению судами необоснованных судебных актов.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