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«Первая грузовая компания» обратилось в Арбитражный суд города Москвы с иском к АО «Сибирская угольная энергетическая компания» о взыскании 3 031 500 рублей штрафа за сверхнормативный оборот вагонов. Решением Арбитражного суда города Москвы от 24.12.2021, оставленным без изменения постановлением Девятого арбитражного апелляционного суда от 31.03.2022, иск удовлетворен в части взыскания 1 700 000 рублей штрафа, в удовлетворении иска в остальной части отказано. ПАО «ПГК» обратилось в Арбитражный суд города Москвы с заявлением об индексации присужденных денежных средств за период с 21.12.2021 по 04.10.2022 в размере 211 068 рублей. Определением Арбитражного суда города Москвы от 26.01.2023, оставленным без изменения постановлением Девятого арбитражного апелляционного суда от 07.04.2023 и постановлением Арбитражного суда Московского округа от 05.07.2023, заявление удовлетворено. АО «СУЭК»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об индексации присужденных денежных сумм, суды руководствовались положениями статей 171, 176, 183 Арбитражного процессуального кодекса Российской Федерации, правовой позицией, изложенной в постановлении Конституционного Суда Российской Федерации от 22.07.2021 № 40-П «По делу о проверке конституционности статьи 183 АПК РФ в связи с запросом Арбитражного суда Республики Татарстан и жалобой гражданина В.В. Сторублевцева», и исходили из права истца на возмещение финансовых потерь в упрощенном процессуальном порядке со дня вынесения судебного акта, вызванных обесцениванием в результате экономических явлений присужденных денежных сумм, обязанность уплатить которые лежит на должнике и эта обязанность своевременно не исполнена.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