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27.02.2023, оставленным без изменения постановлением Тринадцатого арбитражного апелляционного суда от 03.05.2023 и постановлением Арбитражного суда Северо-Западного округа от 10.08.2023, в удовлетворении заявления отказано. В кассационной жалобе Малиновская Т.Н. просит об отмене судебных актов, ссылаясь на игнорирование преюдиции и регистрации за ней права собственности на спорное имущество.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передачу спорного имущества в залог до раздела имущества супругов, не устраняющего залога, поэтому отказали в исключении его из конкурсной массы.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Малиновской Татьяне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