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02.03.2023 процедура реализации имущества ФИО2 завершена, должник освобожден от дальнейшего исполнения требований кредиторов, в том числе требований, не заявленных в ходе проведения процедуры банкротства. Постановлением Десятого арбитражного апелляционного суда от 14.04.2023 определение суда первой инстанции отменено в части освобождения должника от дальнейшего исполнения требований кредиторов, к должнику не применены правила об освобождении от дальнейшего исполнения обязательств перед ФИО1 в размере 920 684 рублей. Арбитражный суд Московского округа постановлением от 05.07.2023 постановление апелляционного суда отменил и оставил в силе определение суда первой инстанции. ФИО1 обратилась в Судебную коллегию Верховного Суда Российской Федерации с кассационной жалобой на определение суда первой инстанции и постановление суда округа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первой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кредиторов; фактов противоправного поведения должника, направленного на умышленное уклонение от исполнения своих обязательств перед кредитором, причинения кредитору вреда умышленно или по грубой неосторожности не выявлено, признаков преднамеренного и фиктивного банкротства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ЦФОП АПК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