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Арбитражного суда города Москвы от 09.12.2022 иск удовлетворен. Постановлением Девятого арбитражного апелляционного суда от 06.03.2023, оставленным без изменения постановлением Арбитражного суда Московского округа от 21.06.2023, решение изменено, с ответчика взыскано 477 486 рублей убытков. В кассационной жалобе общество «АЛЬТ» просит об отмене судебных актов, ссылаясь на неосновательное возложение на него ответственности.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понесенные истцом расходы являются следствием ненадлежащего исполнения ответчиком договора транспортной экспедиции от 14.03.2019 № 54-123, поэтому удовлетворили иск в соответствии со статьями 15 , 393 , 801 Гражданского кодекса Российской Федерации и статьей 7 Федерального закона от 30.06.2003 № 87-ФЗ «О транспортно-экспедиционной деятельности». Требуемое изменение оценки обстоятельств исполнения обязательства не попадает под основания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"Станко-Тех" (подробнее) Ответчики: ООО "Альт"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