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15.02.2022, оставленным без изменения постановлением Девятого арбитражного апелляционного суда от 17.05.2023 и постановлениям Арбитражного суда Московского округа от 25.07.2023, требование кредитора в заявленном размере включено в третью очередь реестра. В кассационной жалобе Тумашов А.А. просит об отмене судебных актов, ссылаясь на неправильные правовую квалификацию заявленного требования и определение очередности.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судами очередности заявленного требования единообразно с аналогичными требованиями других кредиторов к должнику, основано на позициях, изложенных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статьях 61.18, 71, 100, 134, 213.27 Федерального закона от 26.10.2002 № 127-ФЗ «О несостоятельности (банкротстве)», их судебном толковании и применении.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Тумашову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