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Жердев Андрей Михайлович обратился в суд с заявлением о привлечении Веревкина О.Н., Навощика А.С., Григорьева Илью Валерьевича, Навощика Петра Иосифовича, обществ с ограниченной ответственностью «Лекстор о», «Лекстор в», «Лекстор к», «Холдер Константиновка» и «Радуга Сервис». Определением Арбитражного суда города Санкт – Петербурга и Ленинградской области от 07.02.2023 установлено наличие оснований для привлечения солидарно субсидиарной ответственности Веревкина О.Н., Навощика А.С., Григорьева И.В. и Навощика П.И., обществ «Лекстор о», «Лекстор в», «Лекстор к» и «Радуга Сервис», производство по заявлению в части определения размера ответственности названных лиц приостановлено до окончания расчётов с кредиторами. В удовлетворении остальной части заявленных требований отказано. Постановлением Тринадцатого арбитражного апелляционного суда от 01.06.2023, оставленным без изменения постановлением Арбитражного суда Северо-Западного округа от 02.08.2023, вышеуказанное определение отменено в части привлечения к субсидиарной ответственности Григорьева И.В. и Навощика П.И., в этой части в удовлетворении заявления отказано. В остальной части определение суда первой инстанции от 07.02.2023 оставлено без изменения. 2 В кассационных жалобах, поданных в Верховный Суд Российской Федерации, заявители просят отменить названные судебные акты в части привлечения их к субсидиарной ответственности по обязательствам должника и направить дело на новое рассмотрение в суд первой инстанции.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статьи 61.11 Федерального закона от 26.10.2002 № 127-ФЗ «О несостоятельности (банкротстве)», признали доказанным наличие оснований для привлечения к субсидиарной ответственности бывших руководителей должника – Навощика А.С. и Веревкина О.Н., не исполнивших возложенную на них законом обязанность по передаче имущества и первичной документации должника (в том числе документов, касающихся отражаемых в бухгалтерском балансе за 2020 год основных средств и дебиторской задолженности), что существенно затруднило проведение применяемых в банкротстве процедур, негативным образом отразилось на формировании конкурсной массы и проведении расчётов с конкурсными кредиторами. Выводы судов в обжалуемой заявителями части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