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14.02.2023, оставленным без изменения постановлением Семнадцатого арбитражного апелляционного суда от 24.04.2023 и постановлением Арбитражного суда Западно-Сибирского округа от 09.08.2023, в удовлетворении заявления отказано. В кассационной жалобе Губайдуллин Р.Ш. просит об отмене судебных актов, ссылаясь на процессуальные нарушения и отсутствие надлежащей правовой оценки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Указанное судами основание для замены судьи является объективным, известным должнику и не создающим условий для отвода судьи. Суды установили отсутствие вменяемых должником арбитражным управляющим нарушений, которые могли бы повлечь требуемую ответственность, поэтому отклонили заявление в силу статей 20.3, 20.4, 60, 213.29 Федерального закона от 26.10.2002 № 127-ФЗ «О несостоятельности (банкротстве)» и статьи 15 Гражданского кодекса Российской Федерации и их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Губайдуллину Рашиту Шайхулловичу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