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«Петрол Трейд Компани» обратилось в Арбитражный суд Самарской области с уточненным иском к ООО «Алтесс Групп» и ПАО «Тольяттиазот» о взыскании солидарно штрафа за сверхнормативный простой вагонов под погрузкой и сверхнормативный оборот вагонов на станции Химзаводская Куйбышевской железной дороги в размере 4 348 000 рублей. К участию в деле в качестве третьих лиц, не заявляющих самостоятельных требований относительно предмета спора, привлечены АО «ЛП Транс», ОАО «РЖД». Решением Арбитражного суда Самарской области от 25.11.2022, оставленным без изменения постановлением Одиннадцатого арбитражного апелляционного суда от 16.02.2023 и постановлением Арбитражного суда Поволжского округа от 19.07.2023, с ООО «Алтесс Групп» в пользу ООО «Петрол Трейд Компани» взыскан штраф в заявленной сумме, а также 44 740 рублей расходов по уплате государственной пошлины; в удовлетворении иска к ПАО «Тольяттиазот» отказано. ООО «Алтесс Групп»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права и обязанности из договора перед истцом возникают непосредственно у ООО «Алтесс Групп», признав доказанным факт допущенного ответчиком сверхнормативного простоя вагонов, руководствуясь положениями статей 309 , 310 , 330 , 421 , 431 , 779 , 990 , 1005 , 1011 Гражданского кодекса Российской Федерации, суды пришли к выводу об обоснованности иска, не усмотрев оснований для уменьшения размера подлежащего взысканию штрафа по правилам статьи 333 Гражданского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"Петрол ТрейдКомпани" (подробнее) Ответчики: ООО "Алтесс Групп" (подробнее) ПАО "Тольяттиазот" (подробнее) Иные лица: Арбитражный суд Поволжского округа (подробнее) Судьи дела: Зарубина Е.Н. (судья)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