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ФИО3 обратился в суд с заявлением о признании недействительными сделками банковских операций по снятию наличными ФИО1 в период с октября 2018 года по май 2019 года денежных средств с расчётного счёта должника в общем размере 30 800 000 рублей; применении последствий недействительности сделок. Определением Арбитражного суда Ростовской области от 09.12.2022 в удовлетворении заявления отказано. Постановлением Пятнадцатого арбитражного апелляционного суда от 12.03.2023, оставленным без изменения постановлением Арбитражного суда Северо-Кавказского округа от 22.06.2023, данное определение отменено; заявления удовлетворено. В кассационной жалобе, поданной в Верховный Суд Российской Федерации, заявители просят отменить постановления судов апелляционной инстанции и округа, определение суда первой инстанции оставить в силе.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 апелляционной инстанции и округа, руководствуясь статьями 2 , 19 , пунктом 2 статьи 61.2 Федерального закона от 26.10.2002 № 127-ФЗ «О несостоятельности (банкротстве)», установив, что снятие заинтересованным лицом наличных денежных средств совершено не с целью ведения неплатёжеспособным должником своей хозяйственной деятельности, а направлено на вывод его активов по вред имущественным правам конкурсных кредиторов, пришли к выводу о наличии оснований для удовлетворения заявления конкурсного управляющего. Выводы судов апелляционной инстанции и округа соответствуют нормам права, оснований для переоценки этих выводов не имеется. Несогласие заявителя с выводами судов апелляционной инстанции и округа,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"ПромДонСервис" (подробнее) ООО "Стальснаб" (подробнее) ООО "ЮЖНАЯ СТАЛЬ" (подробнее) УФНС по РО (подробнее) Ответчики: ООО "Глобалмет" (подробнее) ООО "Глобалмет" (подробнее) ООО "ПромДонСервис" (подробнее) ООО "Стальснаб" (подробнее) Иные лица: Адвокатский кабинет адвоката Стрижака М.М. (подробнее) ООО ГЛОБАЛМЕТПРОМ (подробнее) ООО Московский Д.В. к/у "Глобалмет" (подробнее) СОАУ " Сибирская гильдия антикризисных управляющих"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