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недействительной сделкой акта зачёта взаимных требований от 01.09.2020, заключенного между должником и обществом с ограниченной ответственностью «Вери Сапори» (далее – общество); применении последствий недействительности сделки. Определением Арбитражного суда города Москвы от 01.02.2023, оставленным без изменения постановлениями Девятого арбитражного апелляционного суда от 12.04.2023 и Арбитражного суда Московского округа от 19.06.2023,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61.3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условий, необходимых для признания недействительной оспариваемой сделки по основанию предпочтительного удовлетворения перед другими кредиторами требований общества, не осведомлённого о наличии у должника на момент совершения оспариваемой сделки признаков неплатёжеспособности.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