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заявлениями, объединёнными в одно производство для совместного рассмотрения, о включении в реестр требований кредиторов должника (далее – реестр) требований в общем размере 38 409 130 рублей 47 копеек как обеспеченных залогом имущества должника. Определением Арбитражного суда Республики Бурятия от 06.12.2022 (с учётом определения того же суда от 06.12.2022 об исправлении опечатки), оставленным без изменения постановлениями Четвёртого арбитражного апелляционного суда от 11.04.2023 и Арбитражного суда Восточно-Сибирского округа от 21.06.2023, заявление удовлетворено в части включения в третью очередь реестра требования в размере 3 498 367 рублей 58 копеек, как обеспеченных залогом имущества должника (нефрита-сырца в количестве 32 880 кг, находящегося на хранении у общества с ограниченной ответственностью «Данак» по адресу: г. Улан-Удэ, ул. Дальневосточная, 150 «а»). В удовлетворении остальной части заявленных требований отказано. 2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Бывший руководитель должника не согласен с мотивировочной частью принятого по спору определения суда первой инстанции, содержащей, по мнению заявителя, недостоверные сведения, относящиеся непосредственно к его личности и деятельности, порочащие последнего, которые влияют на его права и обязанности, в связи с чем полагает, что данные выводы подлежат исключению из содержания обжалуемого им судебного акта. Общество выражает несогласие с отказом в удовлетворении остальной части заявленных им требований.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статьями 71, 100, 142 Федерального закона от 26.10.2002 № 127-ФЗ «О несостоятельности (банкротстве)», исходили из установленного факта исполнения должником своих обязательств перед правопредшественником заявителя – обществом с ограниченной ответственностью «Ирбис», получившим добываемое сырье (нефрит-сырец) в счёт уплаты задолженности перед ним, в связи с чем отказали во включении оспариваемой части требования в реестр. Отклоняя доводы бывшего руководителя должника, суды указали, что обжалуемые им судебные акты не приняты о его правах и обязанностях, а все упоминания о нём являются цитатами из постановления суда общей юрисдикции. Выводы судов в обжалуемой заявителями части соответствуют нормам права. Оснований для переоценки этих выводов, исключения из содержания обжалуемого судебного акта поименованных бывшим руководителем должника выводов соответствующего содержания не имеется.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