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об оспаривании распоряжения Государственной жилищной инспекции Санкт-Петербурга (далее – инспекция) от 17.02.2022 № 636-рл, обязании инспекции внести изменения в реестр лицензий субъекта Российской Федерации – Санкт-Петербург, включив сведения о многоквартирном доме в число домов, находящихся в управлении общества. Решением Арбитражного суда города Санкт-Петербурга и Ленинградской области от 14.09.2022, оставленным без изменения постановлением Тринадцатого арбитражного апелляционного суда от 21.12.2022 и постановлением Арбитражного суда Северо-Западного округа от 27.04.2023,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ставит вопрос об отмене принятых по делу судебных актов.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Признавая оспоренное распоряжение законным, суды трех инстанций, оценив представленные в материалы дела доказательства, руководствуясь положениями жилищного законодательства и Порядка и сроков внесения изменений в реестр лицензий субъекта Российской Федерации, утвержденного приказом Министерства строительства и жилищно-коммунального хозяйства Российской Федерации от 25.12.2015 № 938/пр, пришли к выводу о наличии у инспекции правовых оснований для отказа обществу во внесении изменений в реестр лицензий ввиду установления признаков ничтожности решения общего собрания собственников помещений в многоквартирном доме.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«ГК Д.О.М. Колпино»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