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17.02.2023, оставленным без изменения постановлением Девятого арбитражного апелляционного суда от 14.04.2023 и постановлением Арбитражного суда Московского округа от 24.07.2023, заявление ООО КБ «РБС» признано обоснованным, в отношении Кисловой А.А. введена процедура реструктуризации долгов гражданина, требование кредитора в размере 650 829 000 рублей признано обоснованным и подлежащим включению в третью очередь реестра требований кредиторов должника; в удовлетворении заявления в части 86 203 638 рублей 37 копеек процентов за пользование чужими денежными средствами отказано. Кислова А.А.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требование кредитора подтверждено вступившим в законную силу судебным актом о привлечении должника к субсидиарной ответственности и обязательство по уплате задолженности должником не исполнено, установив наличие у должника признаков, необходимых для возбуждения дела о банкротстве, руководствуясь положениями статей 33, 213.3, 213.5, 213.6 Федерального закона от 26.10.2002 № 127-ФЗ «О несостоятельности (банкротстве)», суды признали требование кредитора обоснованным и ввели в отношении должника процедуру реструктуризации долгов гражданина. Нарушений или неправильного применения норм процессуального права, которые могли бы явиться основанием для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