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Павлова Елена Александровна обратилась в суд с заявлением о признании недействительными сделками платежей, совершённых должником в период с 27.11.2017 по 22.06.2020 в пользу общества на общую сумму 239 673 438 рублей 18 копеек; применении последствий недействительности сделок. Определением Арбитражного суда города Санкт-Петербурга и Ленинградской области от 21.11.2022, оставленным без изменения постановлениями Тринадцатого арбитражного апелляционного суда от 14.03.2023 и Арбитражного суда Северо-Западного округа от 20.06.2023,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исходили из доказанности наличия оснований для признания недействительными оспариваемых платежей, совершённых неплатёжеспособным должником в пользу заинтересованного лица при отсутствии с его стороны встречного исполнения и повлекших за собой причинение вреда имущественным правам конкурсных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