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«ВИАЛ-ГРУПП» обратилось в суд о правопреемстве кредитора – индивидуального предпринимателя ФИО3 на него в связи с заключением договора уступки права (требования) от 29.01.2019 № 32. Определением Арбитражного суда города Москвы от 26.07.2019, оставленным без изменения постановлениями Девятого арбитражного апелляционного суда от 24.10.2019 и Арбитражного суда Московского округа от 17.02.2020,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48 Арбитражного процессуального кодекса Российской Федерации, статьями 382 , 384 Гражданского кодекса Российской Федерации, пришли к выводу о действительности договора уступки права (требования), что повлекло правопреемство в материальном правоотношении, и послужило основанием для осуществления процессуальной замены кредитора на его правопреемника.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ГУП города Москвы "Мосремонт" города Москвы "Мосремонт" (подробнее) ООО "Бусиновский Логистический погрузочный центр" (подробнее) ООО "ВИАЛ-Групп" (подробнее) ООО "ГАГАТ" (подробнее) ООО "Мехколонна №15" (подробнее) ООО "МЕХКОЛОННА №15" (подробнее) ООО "Промстрой" (подробнее) ООО "ЧАСТНОЕ ОХРАННОЕ ПРЕДПРИЯТИЕ "СТРОЙОХРАНА" (подробнее) ООО "Экспертиза и право" (подробнее) ПАО "Сбербанк России" (подробнее) Ответчики: АО "Бусиновский мясоперерабатывающий комбинат" (подробнее) АО "СУ-25 Мосасфальтстрой" (подробнее) АО "СУ-25 МосАсфальтСтрой" в лице к/у Антюхова А.А. (подробнее) ООО "ЕАС Бетон" (подробнее) Иные лица: АО КБ "РУССКИЙ ИНВЕСТИЦИОННЫЙ АЛЬЯНС" (подробнее) Ассоциация СРО "ЦААУ" (подробнее) ООО Гнездовский ЖБИ (подробнее) ООО "ДОРКОМПЛЕКТ-ЯВИР" (подробнее) ООО ПКФ СТРОЙГРУПП (подробнее) ООО "ЧОП "Стройохрана" (подробнее) ООО "Элитастрой" (подробнее) Судьи дела: Корнелюк Е.С. (судья) (подробнее) Последние документы по делу: Определение от 13 октября 2020 г. по делу № А40-239206/2017 Определение от 3 июня 2020 г. по делу № А40-239206/2017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