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Москомстройинвест обратился в суд с заявлением о признании недействительными решений, принятых на собрании кредиторов от 16.01.2023. Определением Арбитражного суда города Москвы от 24.05.2023, оставленным без изменения постановлением Девятого арбитражного апелляционного суда от 25.07.2023, заявленное требование удовлетворено. В кассационных жалобах, поданных в Верховный Суд Российской Федерации, заявители просят отменить оспариваемые судебные акты, обособленный спор направить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положениями статей 12, 13, 15, 201.1 Федерального закона от 26.10.2002 № 127-ФЗ «О несостоятельности (банкротстве)», установив, что собрание кредиторов от 16.01.2023 проведено с нарушением правил подготовки, организации и проведения, пришли к выводу о наличии оснований для признания принятых на нём решений недействительными. Выводы судов соответствуют нормам права, оснований для переоценки выводов судов по доводам жалоб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заявителей основаны на несогласии с принятыми по делу судебными актами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кассационных жалоб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