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апелляционной инстанции и округа норм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Отменяя решение суда первой инстанции и отказывая в удовлетворении иска, суд апелляционной инстанции, с которым впоследствии согласился суд округа, исследовав и оценив представленные в материалы дела доказательства, руководствуясь положениями законодательства, 2 регулирующего спорные правоотношения, пришел к выводу о недоказанности факта неосновательного обогащения на стороне ответчика. Из содержания судебных актов следует, что суд апелляционной инстанции всесторонне исследовал доказательства по делу, установил необходимые для разрешения спора обстоятельства, а суд округа дал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«Базовый элемент»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