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Доводы заявителя не подтверждают существенных нарушений судами норм права, приведших к судебной ошибке существенного и непреодолимого характера при рассмотрении заявления о взыскании судебных расходов, и в силу статьи 291.6 Арбитражного процессуального кодекса Российской 2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«Гжелочка»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