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15.12.2022, оставленным без изменения постановлением Восемнадцатого арбитражного апелляционного суда от 03.04.2023 и постановлением Арбитражного суда Уральского округа от 18.07.2023, процедура реализации имущества гражданина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"ВУЗ-БАНК" (подробнее) АО Челябинский региональный филиал "Россельхозбанк" (подробнее) ООО "АЙДИ КОЛЛЕКТ" (подробнее) ПАО "МТС-Банк" (подробнее) ПАО "Промсвязьбанк" (подробнее) ПАО "Совкомбанк" (подробнее) Иные лица: Ассоциация СОАУ "Меркурий"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