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27.02.2023, оставленным без изменения постановлением Восьмого арбитражного апелляционного суда от 24.04.2023 и постановлением Арбитражного суда Западно-Сибирского округа от 19.07.2023, заявление удовлетворено. В кассационной жалобе ФИО1 просит об отмене судебных актов, ссылаясь на незаконную оценку действий должника и нарушение прав лиц, не привлеченных к участию в споре.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должника от вступления в права наследования по завещанию в период подозрительности при наличии неисполненных обязательств перед кредиторами в пользу заинтересованного лица (дочери) попадает под недействительный в силу пункта 2 статьи 61.2 Федерального закона от 26.10.2002 № 127-ФЗ «О несостоятельности (банкротстве)». Доводы, приведенные в кассационной жалобе, являлись предметом рассмотрения судов, получили правовую оценку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Иные лица: Инспекция Гостехнадзора Омской области (подробнее) Межрайонный отдел технического надзора и регистрации автомототранспортных средств ГИБДД УМВД России по Омской области (подробнее) Подразделение по вопросам миграции УМВД России по Омской области (подробнее) Управление Федеральной службы государственной регистрации, кадастра и картографии по Омской области (подробнее) Филиал ФБГУ "ФКП Росреестра" по Омской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