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23.01.2023, оставленным без изменения постановлением Девятого арбитражного апелляционного суда от 04.04.2023 и постановлением Арбитражного суда Московского округа от 28.06.2023, заявление удовлетворено. В кассационной жалобе Ларина М.А. просит об отмене судебных актов, ссылаясь на несоответствие предложенных условий продажи имущества рыночной конъюнктуре.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Инициированные управляющим изменения основаны оценке имущества, проведенной на основании решении собрания кредиторов, и соответствуют статьям 110, 111, 139, 213.25,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Лариной Марии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