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Арбитражный суд Самарской области рассмотрел отчет финансового управляющего о ходе процедуры реализации имущества должника и ходатайство о завершении процедуры реализации имущества должника. Кредитором - ГК «АСВ» заявлено ходатайство о продлении срока реализации имущества должника. Определением Арбитражного суда Самарской области от 30.01.2023 ходатайство ГК «АСВ» оставлено без удовлетворения; ходатайство финансового управляющего удовлетворено; процедура реализации имущества должника завершена, должник освобождена от дальнейшего исполнения требований кредиторов, в том числе не заявленных при введении реализации имущества гражданина, за исключением требований ФНС России в лице МИФНС № 18 по Самарской области в размере 3 025 753 рублей 41 копейки, ООО КБ «Первый депозитный» в лице конкурсного управляющего ГК «АСВ» в размере 35 736 878 рублей 97 копеек и ГК «СВ» в размере 8 113 521 рубля 99 копеек. Постановлением Одиннадцатого арбитражного апелляционного суда от 28.03.2023 определение суда первой инстанции оставлено без изменения. Арбитражный суд Поволожского округа постановлением от 20.06.2023 указанные судебные акты оставил без изменения. ГК «АСВ»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Завершая процедуру реализации имущества должника, суды руководствовались положениями статей 213.2 , 213.25 , 213.28 Федерального закона от 26.10.2002 № 127-ФЗ «О несостоятельности (банкротстве)» и исходили из того, что мероприятия по формированию конкурсной массы завершены, требования кредиторов удовлетворены частично, в результате проведения анализа сделок должника наличие подозрительных сделок не выявлено, кредитор в самостоятельном порядке с заявлением об оспаривании сделок в суд не обращался, сделки по реализации имущества, на которые ссылается кредитор, совершены за пределами трехлетнего срока, установленного статьями 61.2 - 61.3 Закона о банкротстве.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ГК "АСВ" (подробнее) Ответчики: Козинец (Вдовина) Марина Александровна (подробнее) Козинрец (Вдовина) Марина Александровна (подробнее) Иные лица: Арбитражный суд города Москвы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