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16.11.2022, оставленным без изменения постановлением Пятнадцатого арбитражного апелляционного суда от 26.04.2023 и постановлением Арбитражного суда Северо-Кавказского округа от 02.08.2023, иск удовлетворен. В кассационной жалобе Фарафонов В.В. просит об отмене судебных актов, ссылаясь на рассмотрение дела с нарушением подсудности.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Получивший оценку судов довод о подсудности в отсутствие доводов в отношении материально-правового существа судебных актов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Фарафонову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