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При этом документы во исполнение определения суда апелляционной инстанции об оставлении апелляционной жалобы без движения были направлены посредством почтовой связи незадолго до истечения срока, установленного судом, без учета контрольных сроков пересылки почтовой корреспонденции, предусмотренных приказом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 Согласно разъяснениям, приведенным в пункте 20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направление лицом документов по почте незадолго до истечения срока, установленного судом, и без учета нормативов доставки и контрольных сроков пересылки почтовой корреспонденции (сроков оказания услуг почтовой связи), повлекшее поступление такой корреспонденции по истечении установленного судом срока, не может расцениваться как своевременное исполнение требований суда об устранении соответствующих обстоятельств. Аналогичные разъяснения содержатся в пункте 38 постановления Пленума Высшего Арбитражного Суда Российской Федерации от 25.12.2013 № 99 «О процессуальных сроках».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«Партнер»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АО Страховое "ВСК" (подробнее) Ответчики: ООО Партнер (подробнее) ООО "Управляющая компания "Ваш дом"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