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08.09.2022, оставленным без изменения постановлением Первого арбитражного апелляционного суда от 20.02.2023 и постановлением Арбитражного суда Волго-Вятского округа от 09.06.2023, процедура реализации имущества должника завершена, ФИО2 освобожден от дальнейшего исполнения требований кредиторов. В кассационной жалобе ФИО1 просит об отмене судебных актов, ссылаясь на ненадлежащую оценку поведения должника, преждевременное завершение процедуры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отсутствие у должника имущества для удовлетворения требований кредиторов и недобросовестных действий должника до и во время проведения процедур банкротства, признали условия для завершения процедур и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Приведенные в жалобе доводы исследованы и учтены судами при принятии судебных актов и не составляют оснований для их кассационного пересмотра.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