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общества с ограниченной ответственностью «Фанерный комбинат» и «Орион» (собственник здания, в котором располагается реализованное на торгах имущество, и арендатор данного имущества) обратились в суд с заявлениями, в которых просили признать недействительным пункт 2.2.3 договора от 08.12.2022 №1 купли-продажи имущества, внести в него соответствующие изменения, обязать должника и общество с ограниченной ответственностью «Лестрейд» (далее – покупатель имущества) заключить договор купли-продажи на названных в заявлениях условиях. Определением Арбитражного суда Калужской области от 15.02.2023, оставленным без изменения постановлениями Двадцатого арбитражного апелляционного суда от 08.05.2023 и Арбитражного суда Центрального округа от 28.07.2023, заявление удовлетворено частично. Оспариваемый договор признан недействительным, на должника и покупателя имущества возложена обязанность заключить договор купли-продажи на условиях проекта договора, являющегося составной частью проведенных торгов, завершенных 05.12.2022, из проекта договора исключен пункт 2.2.3, указано на наличие обременения реализуемого имущества в виде права аренды общества «Фанерный Комбинат» и нахождение имущества на территории общества «Орион» с необходимостью согласования с последним периодов демонтажа и вывоза имущества. В удовлетворении заявлений в остальной части отказано.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Исходя из доводов кассационной жалобы, заявитель не согласен с обжалуемыми судебными актами в части отказа в остальной части заявленных требований.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и отказывая в удовлетворении заявления в обжалуемой части, суды, руководствуясь статьями 167, 449.1 Гражданского кодекса российской Федерации, статьями 110, 139 Федерального закона от 26.10.2002 № 127-ФЗ «О несостоятельности (банкротстве)», исходили из того, что при состоявшихся и не оспариваемых в настоящем деле торгах заключаемый по их результатам договор купли – продажи имущества должника должен соответствовать проекту договора, представленного на торги, и условиям ранее утверждённого положения о продаже имущества должника, а не противоречить им. Необходимость корректировки судом проекта договора является исключительной в сложившейся ситуации и необходимой мерой.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