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20.02.2023, оставленным без изменения постановлением Семнадцатого арбитражного апелляционного суда от 24.04.2023 и постановлением Арбитражного суда Уральского округа от 27.07.2023, заявление удовлетворено. В кассационной жалобе ФИО1 просит об отмене судебных актов, ссылаясь на неправильно установленные и оцененные обстоятельства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Требуемая переоценка установленных обстоятельств совершения сделки не создает названных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"КАМСКАЯ ДОЛИНА" (подробнее) ООО "Жилсоцинвест" (подробнее) ПАО Банк ВТБ (подробнее) ПАО "Сбербанк России" (подробнее) ПАО ТКБ БАНК (подробнее) Иные лица: ООО "Бодибум" (подробнее) ООО "Капитал-оценка" (подробнее) Росреестр по Пермскому краю (подробнее) Управление Федеральной налоговой службы по Пермскому краю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