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15.02.2023, оставленным без изменения постановлением Девятого арбитражного апелляционного суда от 31.05.2023 и постановлением Арбитражного суда Московского округа от 07.08.2023, в удовлетворении требования отказано. В кассационной жалобе ФИО1 просит об отмене судебных актов, ссылаясь на нарушение преимущественного права покупки и нерассмотрение требования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соответствии с полномочиями, основанными на статье 268 Арбитражного процессуального кодекса Российской Федерации, повторно рассмотрел спор о действительности торгов, а окружной суд проверил законность постановления в этой части, оценив влияние срока предъявления требования на существо спора. Оснований для признания за заявителем преимущественного права покупку судами не установлено и заявителем не подтверждено.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Банк профсоюзной солидарности и социальных инвестиций "Солидарность" (подробнее) АО НС Банк (подробнее) АО СТРОИТЕЛЬНАЯ КОРПОРАЦИЯ "РОССТРОЙ" (подробнее) ИП Коньков Н А (подробнее) ООО "Альбатрос" (подробнее) ООО "Инжстрой" (подробнее) ООО "МИЛС" (подробнее) ООО "Промышленный региональный банк" (подробнее) Иные лица: в/у Коротков К. Г. (подробнее) ООО "ЛЭНДСТРОЙ" (подробнее) Соболев Артём Владимирович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