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Московского округа от 15.06.2023 определение Арбитражного суда города Москвы от 02.11.2022 и постановление Девятого арбитражного апелляционного суда от 15.03.2023 отменены в части включения требования ФИО1 в третью очередь реестра, спор в указанной части направлен на новое рассмотрение в суд первой инстанции. В кассационной жалобе ФИО1 просит отменить постановление окружного суда как незаконное и принятое с превышением пределов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спора для установления не исследованных судом нижестоящей инстанции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Landeli Group Oy (подробнее) ООО "Агропродукт" (подробнее) ООО "Алкомир" (подробнее) ООО "БВ Инвест" (подробнее) ООО "Ракурс" (подробнее) ООО ЧАСТНАЯ ОХРАННАЯ ОРГАНИЗАЦИЯ "АНТАРЕС-Т" (подробнее) ПАО Банк "Объединенный Финансовый Капитал" (подробнее) Иные лица: АССОЦИАЦИЯ САМОРЕГУЛИРУЕМАЯ ОРГАНИЗАЦИЯ АРБИТРАЖНЫХ УПРАВЛЯЮЩИХ "МЕЖРЕГИОНАЛЬНЫЙ ЦЕНТР ЭКСПЕРТОВ И ПРОФЕССИОНАЛЬНЫХ УПРАВЛЯЮЩИХ" (подробнее) ООО ЧОО "Антарес Т"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