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30.12.2022, оставленным без изменения постановлением Девятого арбитражного апелляционного суда от 14.03.2023 и постановлением Арбитражного суда Московского округа от 23.06.2023, иск удовлетворен в части взыскания 521 550 рублей неустойки. В кассационной жалобе общество «Веста Карго» просит об отмене судебных актов, ссылаясь на неисследование доказательств и невыяснение имеющих значение для дела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требуемая ответственность за нарушение срока оборота вагонов основана на договоре от 03.02.2020 № 117 и обстоятельствах его исполнения, уменьшили размер неустойки в силу статей 330 , 333 Гражданского кодекса Российской Федерации.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«Веста 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ООО "ВЛТ ГРУПП" (подробнее) Ответчики: ООО "ВЕСТА КАРГО" (подробнее) Судьи дела: Ксенофонтова Н.А.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