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Ростовской области от 16.03.20232, оставленным без изменения постановлением Пятнадцатого арбитражного апелляционного суда от 28.04.2023 и постановлением Арбитражного суда Северо-Кавказского округа от 26.07.2023, в удовлетворении заявления отказано. В кассационной жалобе общество «РЭМ» просит об отмене судебных актов, ссылаясь на неправильное применение срока исковой давности и неосновательное взыскание государственной пошлины за подачу апелляционной и кассационной жалоб.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Выводы судов о пропуске заявителем срока исковой давности основан на статье 213.32 Федерального закона от 26.10.2002 № 127-ФЗ «О несостоятельности (банкротстве)» и пункте 2 статьи 181 Гражданского кодекса Российской Федерации. Довод, связанный с государственной пошлиной, противоречит позиции, содержащейся в пункте 19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«РЭМ»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