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25.01.2023, оставленным без изменения постановлением Девятого арбитражного апелляционного суда от 03.04.2023, в удовлетворении заявления отказано. Арбитражный суд Московского округа постановлением от 29.06.2023 отменил определение от 25.01.2023 и постановление апелляционного суда от 03.04.2023, направив спор на новое рассмотрение в суд первой инстанции. В кассационной жалобе ФИО1 и ФИО2 просят об отмене постановления суда округа как принятого с нарушением полномочий и без надлежащего извещения заявителей о месте и времени проведения судебного заседания.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 округа,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286 - 288 Арбитражного процессуального кодекса Российской Федерации. Вопрос об извещении разрешен в порядке статей 121, 123 названного Кодекса.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Агентство по страхованию вкладов (подробнее) ГК "АСВ" (подробнее) ПАО "ГЕЛЕНДЖИК-БАНК" (подробнее) Иные лица: Ассоциация "Саморегулируемая организация арбитражных управляющих "Меркурий"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