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30.12.2022, оставленным без изменения постановлением Девятого арбитражного апелляционного суда от 27.03.2023 и постановлением Арбитражного суда Московского округа от 21.06.2023, иск удовлетворен. В кассационной жалобе общество «Торговая компания «Благо» просит об отмене судебных актов, ссылаясь на необходимость исключения из расчета простоя по вине перевозчика и приостановление производства по делу до рассмотрения иска о порче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Причинно-следственной связи между порчей груза и нарушением времени погрузочно-разгрузочных работ, имевшим место одновременно в портах погрузки и выгрузки, не установлено судами. При установлении иных обстоятельств в деле о порче груза заявитель не лишен возможности пересмотра судебных актов по настоящему делу в ином процессуальном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«Благо»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ООО "ТАГАНРОГСКИЙ ТАНКЕРНЫЙ ФЛОТ" (подробнее) ООО ТТФ (подробнее) Ответчики: ООО "Торговая компания "Благо" (подробнее) Иные лица: Aves enerji yag ve gida san.a.s (подробнее) AVES ENERJI YAG VE GIDA SAN. A.S.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