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Коми от 10.02.2023, оставленным без изменения постановлением Второго арбитражного апелляционного суда от 12.04.2023 и постановлением Арбитражного суда Волго-Вятского округа от 26.07.2023, признано обоснованным и включено в третью очередь реестра как обеспеченное залогом имущества требование в размере 662 282 рублей 26 копеек. В кассационной жалобе Зорин А.В. просит об отмене судебных актов, ссылаясь на неправомерное распространение моратория на часть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Мораторий применен к заявленным требованиям в силу закона и установленного в нем порядка.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Зорину Аркадию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