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Алахкулиев Сабир Тарикулиевич обратился в суд с заявлением о признании недействительными сделками платёжных операций, совершённых должником в пользу общества на общую сумму 11 110 000 рублей. Определением Арбитражного суда Нижегородской области от 29.11.2022 заявление удовлетворено. Не согласившись с названным судебным актом, общество обратилось в Первый арбитражный апелляционный суд с апелляционной жалобой. Определением Первого арбитражного апелляционного суда от 18.04.2023, оставленным без изменения постановлением Арбитражного суда Волго – Вятского округа от 14.06.2023,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отказом в удовлетворении ходатайства заявителя о восстановлении срока на апелляционное обжалование. В кассационной жалобе, поданной в Верховный Суд Российской Федерации, заявитель просит отменить названные судебные акты, направить апелляционную жалобу в Первый арбитражный апелляционный суд для рассмотрения по существу.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руководствуясь статьями 117, 150, 259, 271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25.12.2013 № 99 «О процессуальных сроках», исходили из отсутствия уважительных причин для восстановления процессуального срока заявителю, извещённому надлежащим образом о рассмотрении спора, не приведшему доказательств и убедительных доводов в обоснование невозможности совершения соответствующего процессуального действия в установленный срок.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