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Потапова Константина Ивановича определением Арбитражного суда Курской области от 26.12.2022 в порядке процессуального правопреемства произведена замена кредитора Миронова А.В. в реестре требований кредиторов должника на Волобуеву Анну Алексеевну по требованию в размере 6 038 000 рублей. Постановлением Девятнадцатого арбитражного апелляционного суда от 26.04.2023 определение суда первой инстанции оставлено без изменения. Арбитражный суд Центрального округа постановлением от 21.07.2023 указанные судебные акты оставил без изменения. Миронов А.В.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замене кредитора, суды руководствовались положениями статьи 48 Арбитражного процессуального кодекса Российской Федерации, статьями 382, 384 Гражданского кодекса Российской Федерации и исходили из того, что уступка права требования фактически совершена, правопреемство в материально-правовом отношении состоялось и не противоречит требованиям главы 24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