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30.12.2022, оставленным без изменения постановлением Десятого арбитражного апелляционного суда от 14.03.2023 и постановлением Арбитражного суда Московского округа от 15.06.2023, требование кредитора в размере 91 446 рублей включено в первую очередь реестра. В кассационной жалобе ФИО1 просит об отмене судебных актов, ссылаясь на нарушение срока подачи заявления и его подачу с целью причинения вреда другим кредиторам.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Очередность требования и срок его заявления обусловлены характером алиментных платежей, о присуждении в отношении которых имеется судебный акт.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АДМИНИСТРАЦИЯ НАРО-ФОМИНСКОГО ГОРОДСКОГО ОКРУГА (подробнее) АССОЦИАЦИЯ "САМОРЕГУЛИРУЕМАЯ ОРГАНИЗАЦИЯ АРБИТРАЖНЫХ УПРАВЛЯЮЩИХ ЦЕНТРАЛЬНОГО ФЕДЕРАЛЬНОГО ОКРУГА" (подробнее) Межрайонная ИФНС №14 по МО (подробнее) ООО "БМВ Банк" (подробнее) ПАО Банк ВТБ (подробнее) ПАО "Сбербанк" (подробнее) ПАО "Транскапиталбанк" (подробнее) РЭП ОГИБДД УМВД России по Ленинскому г.о.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