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Клохтунова Лилия Витальевна обратилась в суд с заявлением о включении в реестр требований кредиторов должника (далее – реестр) 1 550 000 рублей долга и 444 784 рублей 09 копеек процентов за пользование чужими денежными средствами. Определением Арбитражного суда Краснодарского края от 19.12.2022 заявление удовлетворено. Постановлением Пятнадцатого арбитражного апелляционного суда от 05.04.2023, оставленным без изменения постановлением Арбитражного суда Северо-Кавказского округа от 28.06.2023, определение суда первой инстанции изменено. В третью очередь реестра 1 550 000 рублей долга и 126 545 рублей 75 копеек процентов. В удовлетворении остальной части заявленного требования отказано. В кассационной жалобе, поданной в Верховный Суд Российской Федерации, заявитель просит отменить названные акты и направить дело на новое рассмотрение в суд первой инстанции. Исходя из доводов кассационной жалобы, заявитель не согласна с обжалуемыми судебными актами в части неприменения судами последствий пропуска срока исковой давности. Жалоба изучена в пределах изложенных в ней доводов.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оценив представленные доказательства в соответствии со статьёй 71 Арбитражного процессуального кодекса Российской Федерации, руководствуясь статьями 196, 199, 200, 416, 453 Гражданского кодекса Российской Федерации, пунктом 6 Обзора судебной практики Верховного Суда Российской Федерации № 2 (2022), утвержденного Президиумом Верховного Суда Российской Федерации 12.10.2022, исходили из установленных по делу обстоятельств предъявления Клохтуновой Л.В. своих требований в пределах срока исковой давности. Выводы судов в обжалуемой заявителем части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