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«СЛК Групп» обратилось в Арбитражный суд Калининградской области с иском о взыскании с ИП ФИО1 532 480 рублей неосновательного обогащения и 33 320 рублей 13 копеек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ООО «Кристалл» и ФИО2 Решением Арбитражного суда Калининградской области от 05.10.2022, оставленным без изменения постановлением Тринадцатого арбитражного апелляционного суда от 15.02.2022 и постановлением Арбитражного суда Северо-Западного округа от 22.06.2023, в удовлетворении иска отказано. ООО «СЛК Групп»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оказания предпринимателем услуг по перевозке груза, перечисление денежных средств за доставку груза и доставку груза, руководствуясь статьей 1102 Гражданского кодекса Российской Федерации, суды пришли к выводу об отсутствии на стороне ответчика неосновательно приобретенных или сбереженных денежных средств.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"СЛК Групп" (подробнее) Ответчики: ИП Сумин Сергей Владимирович (подробнее) Судьи дела: Зарубина Е.Н.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