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участник Монаков Александр Владимирович обратился в суд с жалобой на бездействие конкурсного управляющего Фадеева Владимира Геннадьевича, выразившееся: в не заявлении возражений относительно требования общества с ограниченной ответственностью «ИПК «Алексис» (далее – Компания); пропуске срока на обжалование судебного акта о признании требования Компании обоснованным; несвоевременном анализе финансового состояния должника; взыскании с Фадеева В.Г. убытков в размере 6 400 695 рублей и отстранении его от исполнения обязанностей конкурсного управляющего должником. Определением Арбитражного суда города Санкт–Петербурга и Ленинградской области от 05.02.2023 жалоба удовлетворена частично, признано незаконным бездействие конкурсного управляющего по заявлению возражений относительно требования Компании; Фадеев В.Г. отстранен от исполнения обязанностей конкурсного управляющего должником. В удовлетворении жалобы в остальной части отказано. Постановлением Тринадцатого арбитражного апелляционного суда от 19.04.2023, оставленным без изменения постановлением Арбитражного суда Северо–Западного округа от 24.06.2023, определение от 05.02.2023 отменено в части признания незаконным бездействия конкурсного управляющего по заявлению возражений относительно требований Компании и в части 2 отстранения Фадеева В.Г. от исполнения обязанностей конкурсного управляющего должником. В удовлетворении требований в указанной части отказано. В остальной части определение от 05.02.2023 оставлено без изменения. В кассационной жалобе, поданной в Верховный Суд Российской Федерации, заявитель просит отменить обжалуемые судебные акты, заявленные требования удовлетворить.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20.3, 20.4, 129, 145 Федерального закона от 26.10.2002 № 127-ФЗ «О несостоятельности (банкротстве)», исходили из недоказанности наличия в оспариваемых действиях (бездействии) конкурсного управляющего Фадеева В.Г. вменяемых ему нарушений законодательства о банкротстве, а также совокупности условий, необходимых для привлечения его к гражданско-правовой ответственности в виде взыскания убытков.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судов, получили надлежащую правовую оценку и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